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68B3" w:rsidRDefault="007068B3"/>
    <w:p w:rsidR="007068B3" w:rsidRDefault="007068B3"/>
    <w:p w:rsidR="007068B3" w:rsidRDefault="00AC00D0">
      <w:r>
        <w:rPr>
          <w:b/>
        </w:rPr>
        <w:t>TAU Organizing Committee Meeting</w:t>
      </w:r>
    </w:p>
    <w:p w:rsidR="007068B3" w:rsidRDefault="00AC00D0">
      <w:r>
        <w:rPr>
          <w:b/>
        </w:rPr>
        <w:t>Friday, January 20 2017 4:30-6:00</w:t>
      </w:r>
    </w:p>
    <w:p w:rsidR="007068B3" w:rsidRDefault="007068B3"/>
    <w:p w:rsidR="007068B3" w:rsidRDefault="00AC00D0">
      <w:pPr>
        <w:numPr>
          <w:ilvl w:val="0"/>
          <w:numId w:val="1"/>
        </w:numPr>
        <w:ind w:hanging="360"/>
        <w:contextualSpacing/>
      </w:pPr>
      <w:r>
        <w:t>Introductions (10)</w:t>
      </w:r>
    </w:p>
    <w:p w:rsidR="007068B3" w:rsidRDefault="00AC00D0">
      <w:pPr>
        <w:numPr>
          <w:ilvl w:val="1"/>
          <w:numId w:val="1"/>
        </w:numPr>
        <w:ind w:hanging="360"/>
        <w:contextualSpacing/>
      </w:pPr>
      <w:r>
        <w:t>Name, pronoun, department</w:t>
      </w:r>
    </w:p>
    <w:p w:rsidR="005D0540" w:rsidRDefault="005D0540">
      <w:pPr>
        <w:numPr>
          <w:ilvl w:val="1"/>
          <w:numId w:val="1"/>
        </w:numPr>
        <w:ind w:hanging="360"/>
        <w:contextualSpacing/>
      </w:pPr>
      <w:r>
        <w:t>Kristie, Deirdre, Nora, Chelsea, Eric, Ian</w:t>
      </w:r>
    </w:p>
    <w:p w:rsidR="007068B3" w:rsidRDefault="00AC00D0">
      <w:pPr>
        <w:numPr>
          <w:ilvl w:val="0"/>
          <w:numId w:val="1"/>
        </w:numPr>
        <w:ind w:hanging="360"/>
        <w:contextualSpacing/>
      </w:pPr>
      <w:r>
        <w:t>Department updates (10)</w:t>
      </w:r>
    </w:p>
    <w:p w:rsidR="005D0540" w:rsidRDefault="005D0540" w:rsidP="005D0540">
      <w:pPr>
        <w:numPr>
          <w:ilvl w:val="1"/>
          <w:numId w:val="2"/>
        </w:numPr>
        <w:contextualSpacing/>
      </w:pPr>
      <w:r>
        <w:t>Deirdre- Anthropology being absorbed into another department. It is likely</w:t>
      </w:r>
      <w:r>
        <w:tab/>
        <w:t>that faculty will be sent to other departments. TAs have a semester or two left in the program</w:t>
      </w:r>
    </w:p>
    <w:p w:rsidR="005D0540" w:rsidRDefault="005D0540" w:rsidP="005D0540">
      <w:pPr>
        <w:numPr>
          <w:ilvl w:val="1"/>
          <w:numId w:val="2"/>
        </w:numPr>
        <w:contextualSpacing/>
      </w:pPr>
      <w:r>
        <w:t xml:space="preserve">Chelsea- Communications is good. </w:t>
      </w:r>
    </w:p>
    <w:p w:rsidR="005D0540" w:rsidRDefault="005D0540" w:rsidP="005D0540">
      <w:pPr>
        <w:numPr>
          <w:ilvl w:val="1"/>
          <w:numId w:val="2"/>
        </w:numPr>
        <w:contextualSpacing/>
      </w:pPr>
      <w:r>
        <w:t xml:space="preserve"> Eric- Medieval Studies is good</w:t>
      </w:r>
    </w:p>
    <w:p w:rsidR="005D0540" w:rsidRDefault="005D0540" w:rsidP="005D0540">
      <w:pPr>
        <w:numPr>
          <w:ilvl w:val="1"/>
          <w:numId w:val="2"/>
        </w:numPr>
        <w:contextualSpacing/>
      </w:pPr>
      <w:r>
        <w:t>Ian- Everything calm</w:t>
      </w:r>
    </w:p>
    <w:p w:rsidR="005D0540" w:rsidRDefault="005D0540" w:rsidP="005D0540">
      <w:pPr>
        <w:numPr>
          <w:ilvl w:val="1"/>
          <w:numId w:val="2"/>
        </w:numPr>
        <w:contextualSpacing/>
      </w:pPr>
      <w:r>
        <w:t>Kristie- Poli Sci is good</w:t>
      </w:r>
    </w:p>
    <w:p w:rsidR="005D0540" w:rsidRDefault="005D0540" w:rsidP="005D0540">
      <w:pPr>
        <w:numPr>
          <w:ilvl w:val="1"/>
          <w:numId w:val="2"/>
        </w:numPr>
        <w:contextualSpacing/>
      </w:pPr>
      <w:r>
        <w:t xml:space="preserve">Nora- Enrollment is down in the university, which will affect changes in appointment. Something to  be aware of moving forward. </w:t>
      </w:r>
    </w:p>
    <w:p w:rsidR="005D0540" w:rsidRDefault="005D0540" w:rsidP="005D0540">
      <w:pPr>
        <w:numPr>
          <w:ilvl w:val="1"/>
          <w:numId w:val="2"/>
        </w:numPr>
        <w:contextualSpacing/>
      </w:pPr>
      <w:r>
        <w:t>Kristie- Might want to send out an informational email so that people know their rights in regards to changes in appointment</w:t>
      </w:r>
    </w:p>
    <w:p w:rsidR="005D0540" w:rsidRDefault="005D0540" w:rsidP="005D0540">
      <w:pPr>
        <w:numPr>
          <w:ilvl w:val="2"/>
          <w:numId w:val="2"/>
        </w:numPr>
        <w:contextualSpacing/>
      </w:pPr>
      <w:r>
        <w:t>More people read emails when senders are diverse</w:t>
      </w:r>
    </w:p>
    <w:p w:rsidR="007068B3" w:rsidRDefault="00AC00D0">
      <w:pPr>
        <w:numPr>
          <w:ilvl w:val="0"/>
          <w:numId w:val="1"/>
        </w:numPr>
        <w:ind w:hanging="360"/>
        <w:contextualSpacing/>
      </w:pPr>
      <w:r>
        <w:t xml:space="preserve">Eboard updates (20) </w:t>
      </w:r>
    </w:p>
    <w:p w:rsidR="007068B3" w:rsidRDefault="00AC00D0">
      <w:pPr>
        <w:numPr>
          <w:ilvl w:val="1"/>
          <w:numId w:val="1"/>
        </w:numPr>
        <w:ind w:hanging="360"/>
        <w:contextualSpacing/>
      </w:pPr>
      <w:r>
        <w:t>President</w:t>
      </w:r>
    </w:p>
    <w:p w:rsidR="007068B3" w:rsidRDefault="00AC00D0">
      <w:pPr>
        <w:numPr>
          <w:ilvl w:val="2"/>
          <w:numId w:val="1"/>
        </w:numPr>
        <w:ind w:hanging="360"/>
        <w:contextualSpacing/>
      </w:pPr>
      <w:r>
        <w:t xml:space="preserve">Provost meeting </w:t>
      </w:r>
    </w:p>
    <w:p w:rsidR="00C226B1" w:rsidRDefault="00C226B1" w:rsidP="00C226B1">
      <w:pPr>
        <w:numPr>
          <w:ilvl w:val="3"/>
          <w:numId w:val="1"/>
        </w:numPr>
        <w:contextualSpacing/>
      </w:pPr>
      <w:r>
        <w:t>Meeting happened last December. It got a little heated, but  we have a more open line of communications with set expectations</w:t>
      </w:r>
    </w:p>
    <w:p w:rsidR="007068B3" w:rsidRDefault="00AC00D0">
      <w:pPr>
        <w:numPr>
          <w:ilvl w:val="2"/>
          <w:numId w:val="1"/>
        </w:numPr>
        <w:ind w:hanging="360"/>
        <w:contextualSpacing/>
      </w:pPr>
      <w:r>
        <w:t>Leadership Summit</w:t>
      </w:r>
    </w:p>
    <w:p w:rsidR="00C226B1" w:rsidRDefault="00C226B1" w:rsidP="00C226B1">
      <w:pPr>
        <w:numPr>
          <w:ilvl w:val="3"/>
          <w:numId w:val="1"/>
        </w:numPr>
        <w:contextualSpacing/>
      </w:pPr>
      <w:r>
        <w:t xml:space="preserve">Most of us attended a leadership last weekend. We interrupted David Hecker, made our voices heard in the meeting, and represented the union well. </w:t>
      </w:r>
    </w:p>
    <w:p w:rsidR="00C226B1" w:rsidRDefault="00C226B1" w:rsidP="00C226B1">
      <w:pPr>
        <w:numPr>
          <w:ilvl w:val="3"/>
          <w:numId w:val="1"/>
        </w:numPr>
        <w:contextualSpacing/>
      </w:pPr>
      <w:r>
        <w:t>Day one was mostly talking at the membership, the potential merger with MEA was discussed, as was the status of membership throughout AFT, which skirted any responsibility that may be shared by AFT itself rather than local unions.</w:t>
      </w:r>
    </w:p>
    <w:p w:rsidR="00306EE4" w:rsidRDefault="00C226B1" w:rsidP="00C226B1">
      <w:pPr>
        <w:numPr>
          <w:ilvl w:val="3"/>
          <w:numId w:val="1"/>
        </w:numPr>
        <w:contextualSpacing/>
      </w:pPr>
      <w:r>
        <w:t>Day two of the summit included a surprise MAGEL breakout session. There will be a grievance officer MAGEL meeting this Monday.</w:t>
      </w:r>
    </w:p>
    <w:p w:rsidR="00C226B1" w:rsidRDefault="00306EE4" w:rsidP="00C226B1">
      <w:pPr>
        <w:numPr>
          <w:ilvl w:val="3"/>
          <w:numId w:val="1"/>
        </w:numPr>
        <w:contextualSpacing/>
      </w:pPr>
      <w:r>
        <w:t xml:space="preserve">David Hecker has reached out to set up a meeting with TAU. This may be a combined meeting with other unions. </w:t>
      </w:r>
      <w:r w:rsidR="00C226B1">
        <w:t xml:space="preserve">  </w:t>
      </w:r>
    </w:p>
    <w:p w:rsidR="007068B3" w:rsidRDefault="00AC00D0">
      <w:pPr>
        <w:numPr>
          <w:ilvl w:val="1"/>
          <w:numId w:val="1"/>
        </w:numPr>
        <w:ind w:hanging="360"/>
        <w:contextualSpacing/>
      </w:pPr>
      <w:r>
        <w:lastRenderedPageBreak/>
        <w:t>Vice President</w:t>
      </w:r>
    </w:p>
    <w:p w:rsidR="007068B3" w:rsidRDefault="00306EE4">
      <w:pPr>
        <w:numPr>
          <w:ilvl w:val="2"/>
          <w:numId w:val="1"/>
        </w:numPr>
        <w:ind w:hanging="360"/>
        <w:contextualSpacing/>
      </w:pPr>
      <w:r>
        <w:t>RCR grievance</w:t>
      </w:r>
    </w:p>
    <w:p w:rsidR="00306EE4" w:rsidRDefault="00306EE4" w:rsidP="00306EE4">
      <w:pPr>
        <w:numPr>
          <w:ilvl w:val="3"/>
          <w:numId w:val="1"/>
        </w:numPr>
        <w:contextualSpacing/>
      </w:pPr>
      <w:r>
        <w:t xml:space="preserve">Had a very professional meeting with Drs. Mansberger and Byrd-Jacobs. TAU’s concerns were communicated, but due to the RCRs blanket application on all Graduate Students, it is not grievable. Despite this, we were able to delay the deadline of the requirement, and enlightened the administration to several other issues. We were also able to  educate our members as to the terms of the requirement, and encourage them not to complete it if they should not have been required to. </w:t>
      </w:r>
    </w:p>
    <w:p w:rsidR="007068B3" w:rsidRDefault="00AC00D0">
      <w:pPr>
        <w:numPr>
          <w:ilvl w:val="2"/>
          <w:numId w:val="1"/>
        </w:numPr>
        <w:ind w:hanging="360"/>
        <w:contextualSpacing/>
      </w:pPr>
      <w:r>
        <w:t>LOA</w:t>
      </w:r>
    </w:p>
    <w:p w:rsidR="00306EE4" w:rsidRDefault="00306EE4" w:rsidP="00306EE4">
      <w:pPr>
        <w:numPr>
          <w:ilvl w:val="3"/>
          <w:numId w:val="1"/>
        </w:numPr>
        <w:contextualSpacing/>
      </w:pPr>
      <w:r>
        <w:t xml:space="preserve">Language is almost finalized, after which we will sign the letter. Unused credits will be useable in the summer from both Fall and Spring semesters, if employed in the Spring. Some notification will be necessary, which might include initial contact and a form. Also, one need not be appointed in order to use these credits in the Summer. </w:t>
      </w:r>
    </w:p>
    <w:p w:rsidR="00306EE4" w:rsidRDefault="00306EE4" w:rsidP="00306EE4">
      <w:pPr>
        <w:numPr>
          <w:ilvl w:val="2"/>
          <w:numId w:val="1"/>
        </w:numPr>
        <w:contextualSpacing/>
      </w:pPr>
      <w:r>
        <w:t>Member</w:t>
      </w:r>
    </w:p>
    <w:p w:rsidR="00306EE4" w:rsidRDefault="00306EE4" w:rsidP="00306EE4">
      <w:pPr>
        <w:numPr>
          <w:ilvl w:val="3"/>
          <w:numId w:val="1"/>
        </w:numPr>
        <w:contextualSpacing/>
      </w:pPr>
      <w:r>
        <w:t xml:space="preserve">A member from Family and Consumer Sciences has reached out, notifying us that her advisor is attempting to have her makeup hours from MLK Day. Right now, our language does not have specifics for holidays, so we should consider adding this. Dr. Mansberger has assured us that this is impermissible. The member has been sent this information, and we are awaiting a response. </w:t>
      </w:r>
    </w:p>
    <w:p w:rsidR="007068B3" w:rsidRDefault="00AC00D0">
      <w:pPr>
        <w:numPr>
          <w:ilvl w:val="1"/>
          <w:numId w:val="1"/>
        </w:numPr>
        <w:ind w:hanging="360"/>
        <w:contextualSpacing/>
      </w:pPr>
      <w:r>
        <w:t>Communications</w:t>
      </w:r>
    </w:p>
    <w:p w:rsidR="00306EE4" w:rsidRDefault="00306EE4" w:rsidP="00306EE4">
      <w:pPr>
        <w:numPr>
          <w:ilvl w:val="2"/>
          <w:numId w:val="1"/>
        </w:numPr>
        <w:contextualSpacing/>
      </w:pPr>
      <w:r>
        <w:t>Ashley Carter Youngblood</w:t>
      </w:r>
    </w:p>
    <w:p w:rsidR="00306EE4" w:rsidRDefault="00306EE4" w:rsidP="00306EE4">
      <w:pPr>
        <w:numPr>
          <w:ilvl w:val="3"/>
          <w:numId w:val="1"/>
        </w:numPr>
        <w:contextualSpacing/>
      </w:pPr>
      <w:r>
        <w:t xml:space="preserve">Has not been able to send her thank you letter , am arranging to get it from her. </w:t>
      </w:r>
    </w:p>
    <w:p w:rsidR="00306EE4" w:rsidRDefault="00306EE4" w:rsidP="00306EE4">
      <w:pPr>
        <w:numPr>
          <w:ilvl w:val="3"/>
          <w:numId w:val="1"/>
        </w:numPr>
        <w:contextualSpacing/>
      </w:pPr>
      <w:r>
        <w:t xml:space="preserve">We should send out an email about her monthly free meditation session. Eric will write the language for this. </w:t>
      </w:r>
    </w:p>
    <w:p w:rsidR="00306EE4" w:rsidRDefault="00306EE4" w:rsidP="00306EE4">
      <w:pPr>
        <w:numPr>
          <w:ilvl w:val="2"/>
          <w:numId w:val="1"/>
        </w:numPr>
        <w:contextualSpacing/>
      </w:pPr>
      <w:r>
        <w:t>Website Security Certificate</w:t>
      </w:r>
    </w:p>
    <w:p w:rsidR="00306EE4" w:rsidRDefault="00306EE4" w:rsidP="00306EE4">
      <w:pPr>
        <w:numPr>
          <w:ilvl w:val="3"/>
          <w:numId w:val="1"/>
        </w:numPr>
        <w:contextualSpacing/>
      </w:pPr>
      <w:r>
        <w:t xml:space="preserve"> Waiting for the security certificate to continue work on the website</w:t>
      </w:r>
    </w:p>
    <w:p w:rsidR="007068B3" w:rsidRDefault="00AC00D0">
      <w:pPr>
        <w:numPr>
          <w:ilvl w:val="1"/>
          <w:numId w:val="1"/>
        </w:numPr>
        <w:ind w:hanging="360"/>
        <w:contextualSpacing/>
      </w:pPr>
      <w:r>
        <w:t>Treasurer [see current budget]</w:t>
      </w:r>
    </w:p>
    <w:p w:rsidR="007068B3" w:rsidRDefault="00AC00D0">
      <w:pPr>
        <w:numPr>
          <w:ilvl w:val="1"/>
          <w:numId w:val="1"/>
        </w:numPr>
        <w:ind w:hanging="360"/>
        <w:contextualSpacing/>
      </w:pPr>
      <w:r>
        <w:t>Organizer</w:t>
      </w:r>
    </w:p>
    <w:p w:rsidR="006372ED" w:rsidRDefault="006372ED" w:rsidP="006372ED">
      <w:pPr>
        <w:numPr>
          <w:ilvl w:val="2"/>
          <w:numId w:val="1"/>
        </w:numPr>
        <w:contextualSpacing/>
      </w:pPr>
      <w:r>
        <w:t>There is a feeling that we are in the beginning of a union bust campaign. We need to stay mindful of how we use our time and money.</w:t>
      </w:r>
    </w:p>
    <w:p w:rsidR="006372ED" w:rsidRDefault="006372ED" w:rsidP="006372ED">
      <w:pPr>
        <w:numPr>
          <w:ilvl w:val="2"/>
          <w:numId w:val="1"/>
        </w:numPr>
        <w:contextualSpacing/>
      </w:pPr>
      <w:r>
        <w:t xml:space="preserve">We will be putting together a comprehensive contract campaign for the rest of the semester to  find out what needs to change. </w:t>
      </w:r>
    </w:p>
    <w:p w:rsidR="00B76465" w:rsidRDefault="00AC00D0" w:rsidP="00B76465">
      <w:pPr>
        <w:numPr>
          <w:ilvl w:val="0"/>
          <w:numId w:val="1"/>
        </w:numPr>
        <w:ind w:hanging="360"/>
        <w:contextualSpacing/>
      </w:pPr>
      <w:r>
        <w:t>TAU elections! (15)</w:t>
      </w:r>
    </w:p>
    <w:p w:rsidR="007068B3" w:rsidRDefault="00AC00D0">
      <w:pPr>
        <w:numPr>
          <w:ilvl w:val="1"/>
          <w:numId w:val="1"/>
        </w:numPr>
        <w:ind w:hanging="360"/>
        <w:contextualSpacing/>
      </w:pPr>
      <w:r>
        <w:t xml:space="preserve">Timeline: </w:t>
      </w:r>
    </w:p>
    <w:p w:rsidR="007068B3" w:rsidRDefault="00AC00D0">
      <w:pPr>
        <w:ind w:left="1710"/>
      </w:pPr>
      <w:r>
        <w:t>Feb 1: Elections Officer issues call for nominations, elections mid-Feb</w:t>
      </w:r>
    </w:p>
    <w:p w:rsidR="007068B3" w:rsidRDefault="00AC00D0">
      <w:pPr>
        <w:ind w:left="1710"/>
      </w:pPr>
      <w:r>
        <w:t>March 1: Officers-elect begin training with sitting officers</w:t>
      </w:r>
    </w:p>
    <w:p w:rsidR="007068B3" w:rsidRDefault="00AC00D0">
      <w:pPr>
        <w:ind w:left="1710"/>
      </w:pPr>
      <w:r>
        <w:t>May 1: Officers-elect take office</w:t>
      </w:r>
    </w:p>
    <w:p w:rsidR="007068B3" w:rsidRDefault="00AC00D0">
      <w:pPr>
        <w:numPr>
          <w:ilvl w:val="1"/>
          <w:numId w:val="1"/>
        </w:numPr>
        <w:ind w:hanging="360"/>
        <w:contextualSpacing/>
      </w:pPr>
      <w:r>
        <w:lastRenderedPageBreak/>
        <w:t xml:space="preserve">Today: Elections </w:t>
      </w:r>
      <w:r>
        <w:t>Officer</w:t>
      </w:r>
    </w:p>
    <w:p w:rsidR="006372ED" w:rsidRDefault="006372ED" w:rsidP="006372ED">
      <w:pPr>
        <w:numPr>
          <w:ilvl w:val="2"/>
          <w:numId w:val="1"/>
        </w:numPr>
        <w:contextualSpacing/>
      </w:pPr>
      <w:r>
        <w:t xml:space="preserve">Cannot be a current officer or someone running for office. </w:t>
      </w:r>
    </w:p>
    <w:p w:rsidR="00B76465" w:rsidRDefault="00B76465" w:rsidP="006372ED">
      <w:pPr>
        <w:numPr>
          <w:ilvl w:val="2"/>
          <w:numId w:val="1"/>
        </w:numPr>
        <w:contextualSpacing/>
      </w:pPr>
      <w:r>
        <w:t>We should seek funding from AFT to help promote our call for officers. Also, we can make our officers available for pre-election shadowing</w:t>
      </w:r>
    </w:p>
    <w:p w:rsidR="007068B3" w:rsidRDefault="00AC00D0">
      <w:pPr>
        <w:numPr>
          <w:ilvl w:val="0"/>
          <w:numId w:val="1"/>
        </w:numPr>
        <w:ind w:hanging="360"/>
        <w:contextualSpacing/>
      </w:pPr>
      <w:r>
        <w:t>Contract negotiations (15)</w:t>
      </w:r>
    </w:p>
    <w:p w:rsidR="007068B3" w:rsidRDefault="00AC00D0">
      <w:pPr>
        <w:numPr>
          <w:ilvl w:val="1"/>
          <w:numId w:val="1"/>
        </w:numPr>
        <w:ind w:hanging="360"/>
        <w:contextualSpacing/>
      </w:pPr>
      <w:r>
        <w:t>Contract campaign: organizing our members</w:t>
      </w:r>
    </w:p>
    <w:p w:rsidR="00B76465" w:rsidRDefault="00B76465" w:rsidP="00B76465">
      <w:pPr>
        <w:numPr>
          <w:ilvl w:val="2"/>
          <w:numId w:val="1"/>
        </w:numPr>
        <w:contextualSpacing/>
      </w:pPr>
      <w:r>
        <w:t>What matters to our members?</w:t>
      </w:r>
    </w:p>
    <w:p w:rsidR="00B76465" w:rsidRDefault="00B76465" w:rsidP="00B76465">
      <w:pPr>
        <w:numPr>
          <w:ilvl w:val="2"/>
          <w:numId w:val="1"/>
        </w:numPr>
        <w:contextualSpacing/>
      </w:pPr>
      <w:r>
        <w:t>Conversations, within departments and without, including electronic surveys</w:t>
      </w:r>
    </w:p>
    <w:p w:rsidR="00B76465" w:rsidRDefault="00B76465" w:rsidP="00B76465">
      <w:pPr>
        <w:numPr>
          <w:ilvl w:val="3"/>
          <w:numId w:val="1"/>
        </w:numPr>
        <w:contextualSpacing/>
      </w:pPr>
      <w:r>
        <w:t>What needs to be changed? What issues have you had?</w:t>
      </w:r>
    </w:p>
    <w:p w:rsidR="00B76465" w:rsidRDefault="00B76465" w:rsidP="00B76465">
      <w:pPr>
        <w:numPr>
          <w:ilvl w:val="2"/>
          <w:numId w:val="1"/>
        </w:numPr>
        <w:contextualSpacing/>
      </w:pPr>
      <w:r>
        <w:t>Should have about 3 top issues on our platform</w:t>
      </w:r>
    </w:p>
    <w:p w:rsidR="00B76465" w:rsidRDefault="00B76465" w:rsidP="00B76465">
      <w:pPr>
        <w:numPr>
          <w:ilvl w:val="2"/>
          <w:numId w:val="1"/>
        </w:numPr>
        <w:contextualSpacing/>
      </w:pPr>
      <w:r>
        <w:t>PIO negotiations were largely sidebar- need to set negotiation groundrules</w:t>
      </w:r>
    </w:p>
    <w:p w:rsidR="00BF03F3" w:rsidRDefault="00BF03F3" w:rsidP="00B76465">
      <w:pPr>
        <w:numPr>
          <w:ilvl w:val="2"/>
          <w:numId w:val="1"/>
        </w:numPr>
        <w:contextualSpacing/>
      </w:pPr>
      <w:r>
        <w:t>Should have a strategic plan for the semester’s work on this issue</w:t>
      </w:r>
    </w:p>
    <w:p w:rsidR="00BF03F3" w:rsidRDefault="00BF03F3" w:rsidP="00B76465">
      <w:pPr>
        <w:numPr>
          <w:ilvl w:val="2"/>
          <w:numId w:val="1"/>
        </w:numPr>
        <w:contextualSpacing/>
      </w:pPr>
      <w:r>
        <w:t>Will ask the AAUP president to come to an Organizing Committee meeting to explain their negotiation process with the university</w:t>
      </w:r>
    </w:p>
    <w:p w:rsidR="00BF03F3" w:rsidRDefault="00BF03F3" w:rsidP="00B76465">
      <w:pPr>
        <w:numPr>
          <w:ilvl w:val="2"/>
          <w:numId w:val="1"/>
        </w:numPr>
        <w:contextualSpacing/>
      </w:pPr>
      <w:r>
        <w:t>We will also ask other union friends for their input</w:t>
      </w:r>
    </w:p>
    <w:p w:rsidR="00BF03F3" w:rsidRDefault="00BF03F3" w:rsidP="00B76465">
      <w:pPr>
        <w:numPr>
          <w:ilvl w:val="2"/>
          <w:numId w:val="1"/>
        </w:numPr>
        <w:contextualSpacing/>
      </w:pPr>
      <w:r>
        <w:t>Challenges:</w:t>
      </w:r>
    </w:p>
    <w:p w:rsidR="00BF03F3" w:rsidRDefault="00BF03F3" w:rsidP="00BF03F3">
      <w:pPr>
        <w:numPr>
          <w:ilvl w:val="3"/>
          <w:numId w:val="1"/>
        </w:numPr>
        <w:contextualSpacing/>
      </w:pPr>
      <w:r>
        <w:t>This will be our first right-to-work contract</w:t>
      </w:r>
    </w:p>
    <w:p w:rsidR="00BF03F3" w:rsidRDefault="00BF03F3" w:rsidP="00BF03F3">
      <w:pPr>
        <w:numPr>
          <w:ilvl w:val="3"/>
          <w:numId w:val="1"/>
        </w:numPr>
        <w:contextualSpacing/>
      </w:pPr>
      <w:r>
        <w:t xml:space="preserve">Just lost labor-friendly trustees, which weakens our reach. Also likely that WMU’s new president will not be union friendly. </w:t>
      </w:r>
    </w:p>
    <w:p w:rsidR="007068B3" w:rsidRDefault="00AC00D0">
      <w:pPr>
        <w:numPr>
          <w:ilvl w:val="1"/>
          <w:numId w:val="1"/>
        </w:numPr>
        <w:ind w:hanging="360"/>
        <w:contextualSpacing/>
      </w:pPr>
      <w:r>
        <w:t>Bargaining dream team</w:t>
      </w:r>
    </w:p>
    <w:p w:rsidR="00B76465" w:rsidRDefault="00B76465" w:rsidP="00B76465">
      <w:pPr>
        <w:numPr>
          <w:ilvl w:val="2"/>
          <w:numId w:val="1"/>
        </w:numPr>
        <w:contextualSpacing/>
      </w:pPr>
      <w:r>
        <w:t>The crux of the process! Need passionate, involved members!</w:t>
      </w:r>
      <w:r w:rsidR="00BF03F3">
        <w:t xml:space="preserve"> </w:t>
      </w:r>
    </w:p>
    <w:p w:rsidR="00BF03F3" w:rsidRDefault="00BF03F3" w:rsidP="00B76465">
      <w:pPr>
        <w:numPr>
          <w:ilvl w:val="2"/>
          <w:numId w:val="1"/>
        </w:numPr>
        <w:contextualSpacing/>
      </w:pPr>
      <w:r>
        <w:t>Good with facts, numbers</w:t>
      </w:r>
    </w:p>
    <w:p w:rsidR="00BF03F3" w:rsidRDefault="00BF03F3" w:rsidP="00B76465">
      <w:pPr>
        <w:numPr>
          <w:ilvl w:val="2"/>
          <w:numId w:val="1"/>
        </w:numPr>
        <w:contextualSpacing/>
      </w:pPr>
      <w:r>
        <w:t>Ready for leadership responsibilities outside of being an officer. There are a lot of different responsibilities available that need support</w:t>
      </w:r>
    </w:p>
    <w:p w:rsidR="00BF03F3" w:rsidRDefault="00BF03F3" w:rsidP="00B76465">
      <w:pPr>
        <w:numPr>
          <w:ilvl w:val="2"/>
          <w:numId w:val="1"/>
        </w:numPr>
        <w:contextualSpacing/>
      </w:pPr>
      <w:r>
        <w:t>A spectrum of people and backgrounds is good, to bring different perspectives and better represent the universitiy</w:t>
      </w:r>
    </w:p>
    <w:p w:rsidR="007068B3" w:rsidRDefault="00AC00D0">
      <w:pPr>
        <w:numPr>
          <w:ilvl w:val="0"/>
          <w:numId w:val="1"/>
        </w:numPr>
        <w:ind w:hanging="360"/>
        <w:contextualSpacing/>
      </w:pPr>
      <w:r>
        <w:t>Other business (10)</w:t>
      </w:r>
    </w:p>
    <w:p w:rsidR="007068B3" w:rsidRDefault="00AC00D0">
      <w:pPr>
        <w:numPr>
          <w:ilvl w:val="0"/>
          <w:numId w:val="1"/>
        </w:numPr>
        <w:ind w:hanging="360"/>
        <w:contextualSpacing/>
      </w:pPr>
      <w:r>
        <w:t xml:space="preserve">Happy ending (10) </w:t>
      </w:r>
    </w:p>
    <w:p w:rsidR="00F00348" w:rsidRDefault="00F00348" w:rsidP="00F00348">
      <w:pPr>
        <w:numPr>
          <w:ilvl w:val="1"/>
          <w:numId w:val="1"/>
        </w:numPr>
        <w:contextualSpacing/>
      </w:pPr>
      <w:r>
        <w:t>Chelsea had a great time in London!</w:t>
      </w:r>
    </w:p>
    <w:p w:rsidR="00F00348" w:rsidRDefault="00F00348" w:rsidP="00F00348">
      <w:pPr>
        <w:numPr>
          <w:ilvl w:val="1"/>
          <w:numId w:val="1"/>
        </w:numPr>
        <w:contextualSpacing/>
      </w:pPr>
      <w:r>
        <w:t>Christine had her flight delayed and spent more time in LA</w:t>
      </w:r>
    </w:p>
    <w:p w:rsidR="00F00348" w:rsidRDefault="00F00348" w:rsidP="00F00348">
      <w:pPr>
        <w:numPr>
          <w:ilvl w:val="1"/>
          <w:numId w:val="1"/>
        </w:numPr>
        <w:contextualSpacing/>
      </w:pPr>
      <w:r>
        <w:t>Eric got into Theater for Community Health group</w:t>
      </w:r>
    </w:p>
    <w:p w:rsidR="00F00348" w:rsidRDefault="00F00348" w:rsidP="00F00348">
      <w:pPr>
        <w:numPr>
          <w:ilvl w:val="1"/>
          <w:numId w:val="1"/>
        </w:numPr>
        <w:contextualSpacing/>
      </w:pPr>
      <w:r>
        <w:t>Ian got to play with a puppy!</w:t>
      </w:r>
    </w:p>
    <w:p w:rsidR="00F00348" w:rsidRDefault="00F00348" w:rsidP="00F00348">
      <w:pPr>
        <w:numPr>
          <w:ilvl w:val="1"/>
          <w:numId w:val="1"/>
        </w:numPr>
        <w:contextualSpacing/>
      </w:pPr>
      <w:r>
        <w:t>Kristie got to see John Oliver in Detroit with her Boyfriend</w:t>
      </w:r>
    </w:p>
    <w:p w:rsidR="00F00348" w:rsidRDefault="00F00348" w:rsidP="00F00348">
      <w:pPr>
        <w:numPr>
          <w:ilvl w:val="1"/>
          <w:numId w:val="1"/>
        </w:numPr>
        <w:contextualSpacing/>
      </w:pPr>
      <w:r>
        <w:t>Nora is excited to go to the Million Women’s march in Lansing</w:t>
      </w:r>
      <w:bookmarkStart w:id="0" w:name="_GoBack"/>
      <w:bookmarkEnd w:id="0"/>
    </w:p>
    <w:p w:rsidR="007068B3" w:rsidRDefault="007068B3"/>
    <w:p w:rsidR="007068B3" w:rsidRDefault="007068B3"/>
    <w:p w:rsidR="007068B3" w:rsidRDefault="007068B3"/>
    <w:p w:rsidR="007068B3" w:rsidRDefault="00AC00D0">
      <w:r>
        <w:t>OC meeting schedule, spring 2017</w:t>
      </w:r>
    </w:p>
    <w:p w:rsidR="007068B3" w:rsidRDefault="00AC00D0">
      <w:pPr>
        <w:ind w:left="810"/>
      </w:pPr>
      <w:r>
        <w:rPr>
          <w:highlight w:val="white"/>
        </w:rPr>
        <w:t xml:space="preserve">Fridays 4:30-6:00 3301 Friedmann: </w:t>
      </w:r>
      <w:r>
        <w:rPr>
          <w:b/>
          <w:highlight w:val="white"/>
        </w:rPr>
        <w:t>2/3, 2/10, 2/24, 3/17, 4/7, 4/21</w:t>
      </w:r>
    </w:p>
    <w:p w:rsidR="007068B3" w:rsidRDefault="007068B3"/>
    <w:p w:rsidR="007068B3" w:rsidRDefault="007068B3"/>
    <w:p w:rsidR="007068B3" w:rsidRDefault="00AC00D0">
      <w:r>
        <w:br w:type="page"/>
      </w:r>
    </w:p>
    <w:p w:rsidR="007068B3" w:rsidRDefault="007068B3"/>
    <w:p w:rsidR="007068B3" w:rsidRDefault="007068B3"/>
    <w:p w:rsidR="007068B3" w:rsidRDefault="007068B3"/>
    <w:tbl>
      <w:tblPr>
        <w:tblStyle w:val="a"/>
        <w:tblW w:w="665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710"/>
        <w:gridCol w:w="2250"/>
        <w:gridCol w:w="1440"/>
        <w:gridCol w:w="1250"/>
      </w:tblGrid>
      <w:tr w:rsidR="007068B3">
        <w:trPr>
          <w:trHeight w:val="291"/>
        </w:trPr>
        <w:tc>
          <w:tcPr>
            <w:tcW w:w="6650" w:type="dxa"/>
            <w:gridSpan w:val="4"/>
            <w:vMerge w:val="restart"/>
            <w:tcMar>
              <w:left w:w="40" w:type="dxa"/>
              <w:right w:w="40" w:type="dxa"/>
            </w:tcMar>
            <w:vAlign w:val="bottom"/>
          </w:tcPr>
          <w:p w:rsidR="007068B3" w:rsidRDefault="00AC00D0">
            <w:pPr>
              <w:jc w:val="center"/>
            </w:pPr>
            <w:r>
              <w:rPr>
                <w:rFonts w:ascii="Calibri" w:eastAsia="Calibri" w:hAnsi="Calibri" w:cs="Calibri"/>
                <w:b/>
                <w:sz w:val="20"/>
                <w:szCs w:val="20"/>
                <w:highlight w:val="white"/>
                <w:u w:val="single"/>
              </w:rPr>
              <w:t>2016-2017 Budget</w:t>
            </w:r>
          </w:p>
        </w:tc>
      </w:tr>
      <w:tr w:rsidR="007068B3">
        <w:trPr>
          <w:trHeight w:val="253"/>
        </w:trPr>
        <w:tc>
          <w:tcPr>
            <w:tcW w:w="6650" w:type="dxa"/>
            <w:gridSpan w:val="4"/>
            <w:vMerge/>
            <w:tcMar>
              <w:left w:w="40" w:type="dxa"/>
              <w:right w:w="40" w:type="dxa"/>
            </w:tcMar>
            <w:vAlign w:val="bottom"/>
          </w:tcPr>
          <w:p w:rsidR="007068B3" w:rsidRDefault="007068B3">
            <w:pPr>
              <w:spacing w:line="240" w:lineRule="auto"/>
            </w:pPr>
          </w:p>
        </w:tc>
      </w:tr>
      <w:tr w:rsidR="007068B3">
        <w:trPr>
          <w:trHeight w:val="200"/>
        </w:trPr>
        <w:tc>
          <w:tcPr>
            <w:tcW w:w="3960" w:type="dxa"/>
            <w:gridSpan w:val="2"/>
            <w:tcMar>
              <w:left w:w="40" w:type="dxa"/>
              <w:right w:w="40" w:type="dxa"/>
            </w:tcMar>
            <w:vAlign w:val="bottom"/>
          </w:tcPr>
          <w:p w:rsidR="007068B3" w:rsidRDefault="007068B3"/>
        </w:tc>
        <w:tc>
          <w:tcPr>
            <w:tcW w:w="1440" w:type="dxa"/>
            <w:tcMar>
              <w:left w:w="40" w:type="dxa"/>
              <w:right w:w="40" w:type="dxa"/>
            </w:tcMar>
            <w:vAlign w:val="bottom"/>
          </w:tcPr>
          <w:p w:rsidR="007068B3" w:rsidRDefault="00AC00D0">
            <w:pPr>
              <w:spacing w:line="240" w:lineRule="auto"/>
            </w:pPr>
            <w:r>
              <w:rPr>
                <w:rFonts w:ascii="Calibri" w:eastAsia="Calibri" w:hAnsi="Calibri" w:cs="Calibri"/>
                <w:b/>
                <w:sz w:val="20"/>
                <w:szCs w:val="20"/>
                <w:highlight w:val="white"/>
              </w:rPr>
              <w:t>Budgeted</w:t>
            </w:r>
          </w:p>
        </w:tc>
        <w:tc>
          <w:tcPr>
            <w:tcW w:w="1250" w:type="dxa"/>
            <w:tcMar>
              <w:left w:w="40" w:type="dxa"/>
              <w:right w:w="40" w:type="dxa"/>
            </w:tcMar>
            <w:vAlign w:val="bottom"/>
          </w:tcPr>
          <w:p w:rsidR="007068B3" w:rsidRDefault="00AC00D0">
            <w:r>
              <w:rPr>
                <w:rFonts w:ascii="Calibri" w:eastAsia="Calibri" w:hAnsi="Calibri" w:cs="Calibri"/>
                <w:b/>
                <w:sz w:val="20"/>
                <w:szCs w:val="20"/>
                <w:highlight w:val="white"/>
              </w:rPr>
              <w:t>Actual To Date</w:t>
            </w:r>
          </w:p>
        </w:tc>
      </w:tr>
      <w:tr w:rsidR="007068B3">
        <w:trPr>
          <w:trHeight w:val="220"/>
        </w:trPr>
        <w:tc>
          <w:tcPr>
            <w:tcW w:w="1710" w:type="dxa"/>
            <w:tcMar>
              <w:left w:w="40" w:type="dxa"/>
              <w:right w:w="40" w:type="dxa"/>
            </w:tcMar>
            <w:vAlign w:val="bottom"/>
          </w:tcPr>
          <w:p w:rsidR="007068B3" w:rsidRDefault="00AC00D0">
            <w:r>
              <w:rPr>
                <w:rFonts w:ascii="Calibri" w:eastAsia="Calibri" w:hAnsi="Calibri" w:cs="Calibri"/>
                <w:b/>
                <w:sz w:val="20"/>
                <w:szCs w:val="20"/>
                <w:highlight w:val="white"/>
              </w:rPr>
              <w:t>Expenditures</w:t>
            </w:r>
          </w:p>
        </w:tc>
        <w:tc>
          <w:tcPr>
            <w:tcW w:w="2250" w:type="dxa"/>
            <w:tcMar>
              <w:left w:w="40" w:type="dxa"/>
              <w:right w:w="40" w:type="dxa"/>
            </w:tcMar>
            <w:vAlign w:val="bottom"/>
          </w:tcPr>
          <w:p w:rsidR="007068B3" w:rsidRDefault="007068B3">
            <w:pPr>
              <w:spacing w:line="240" w:lineRule="auto"/>
            </w:pPr>
          </w:p>
        </w:tc>
        <w:tc>
          <w:tcPr>
            <w:tcW w:w="1440" w:type="dxa"/>
            <w:tcMar>
              <w:left w:w="40" w:type="dxa"/>
              <w:right w:w="40" w:type="dxa"/>
            </w:tcMar>
            <w:vAlign w:val="bottom"/>
          </w:tcPr>
          <w:p w:rsidR="007068B3" w:rsidRDefault="007068B3">
            <w:pPr>
              <w:spacing w:line="240" w:lineRule="auto"/>
            </w:pPr>
          </w:p>
        </w:tc>
        <w:tc>
          <w:tcPr>
            <w:tcW w:w="1250" w:type="dxa"/>
            <w:tcMar>
              <w:left w:w="40" w:type="dxa"/>
              <w:right w:w="40" w:type="dxa"/>
            </w:tcMar>
            <w:vAlign w:val="bottom"/>
          </w:tcPr>
          <w:p w:rsidR="007068B3" w:rsidRDefault="007068B3">
            <w:pPr>
              <w:spacing w:line="240" w:lineRule="auto"/>
              <w:jc w:val="right"/>
            </w:pPr>
          </w:p>
        </w:tc>
      </w:tr>
      <w:tr w:rsidR="007068B3">
        <w:tc>
          <w:tcPr>
            <w:tcW w:w="1710" w:type="dxa"/>
            <w:tcMar>
              <w:left w:w="40" w:type="dxa"/>
              <w:right w:w="40" w:type="dxa"/>
            </w:tcMar>
            <w:vAlign w:val="bottom"/>
          </w:tcPr>
          <w:p w:rsidR="007068B3" w:rsidRDefault="00AC00D0">
            <w:r>
              <w:rPr>
                <w:rFonts w:ascii="Calibri" w:eastAsia="Calibri" w:hAnsi="Calibri" w:cs="Calibri"/>
                <w:sz w:val="20"/>
                <w:szCs w:val="20"/>
                <w:highlight w:val="white"/>
              </w:rPr>
              <w:t>Per Capita Dues</w:t>
            </w:r>
          </w:p>
        </w:tc>
        <w:tc>
          <w:tcPr>
            <w:tcW w:w="2250" w:type="dxa"/>
            <w:tcMar>
              <w:left w:w="40" w:type="dxa"/>
              <w:right w:w="40" w:type="dxa"/>
            </w:tcMar>
            <w:vAlign w:val="bottom"/>
          </w:tcPr>
          <w:p w:rsidR="007068B3" w:rsidRDefault="00AC00D0">
            <w:r>
              <w:rPr>
                <w:rFonts w:ascii="Calibri" w:eastAsia="Calibri" w:hAnsi="Calibri" w:cs="Calibri"/>
                <w:i/>
                <w:sz w:val="20"/>
                <w:szCs w:val="20"/>
                <w:highlight w:val="white"/>
              </w:rPr>
              <w:t xml:space="preserve">Total </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$22,875.00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$10,483.10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AFT Michigan</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$13,500.00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$6,465.20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AFT</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$8,500.00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$3,190.80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South Central MI AFL-CIO</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$875.00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$827.10</w:t>
            </w:r>
          </w:p>
        </w:tc>
      </w:tr>
      <w:tr w:rsidR="007068B3">
        <w:tc>
          <w:tcPr>
            <w:tcW w:w="1710" w:type="dxa"/>
            <w:tcMar>
              <w:left w:w="40" w:type="dxa"/>
              <w:right w:w="40" w:type="dxa"/>
            </w:tcMar>
            <w:vAlign w:val="bottom"/>
          </w:tcPr>
          <w:p w:rsidR="007068B3" w:rsidRDefault="00AC00D0">
            <w:r>
              <w:rPr>
                <w:rFonts w:ascii="Calibri" w:eastAsia="Calibri" w:hAnsi="Calibri" w:cs="Calibri"/>
                <w:sz w:val="20"/>
                <w:szCs w:val="20"/>
                <w:highlight w:val="white"/>
              </w:rPr>
              <w:t>Employee Payroll</w:t>
            </w:r>
          </w:p>
        </w:tc>
        <w:tc>
          <w:tcPr>
            <w:tcW w:w="2250" w:type="dxa"/>
            <w:tcMar>
              <w:left w:w="40" w:type="dxa"/>
              <w:right w:w="40" w:type="dxa"/>
            </w:tcMar>
            <w:vAlign w:val="bottom"/>
          </w:tcPr>
          <w:p w:rsidR="007068B3" w:rsidRDefault="00AC00D0">
            <w:r>
              <w:rPr>
                <w:rFonts w:ascii="Calibri" w:eastAsia="Calibri" w:hAnsi="Calibri" w:cs="Calibri"/>
                <w:i/>
                <w:sz w:val="20"/>
                <w:szCs w:val="20"/>
                <w:highlight w:val="white"/>
              </w:rPr>
              <w:t>Total</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$35,000.00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$16,188.49</w:t>
            </w:r>
          </w:p>
        </w:tc>
      </w:tr>
      <w:tr w:rsidR="007068B3">
        <w:tc>
          <w:tcPr>
            <w:tcW w:w="1710" w:type="dxa"/>
            <w:tcMar>
              <w:left w:w="40" w:type="dxa"/>
              <w:right w:w="40" w:type="dxa"/>
            </w:tcMar>
            <w:vAlign w:val="bottom"/>
          </w:tcPr>
          <w:p w:rsidR="007068B3" w:rsidRDefault="00AC00D0">
            <w:r>
              <w:rPr>
                <w:rFonts w:ascii="Calibri" w:eastAsia="Calibri" w:hAnsi="Calibri" w:cs="Calibri"/>
                <w:sz w:val="20"/>
                <w:szCs w:val="20"/>
                <w:highlight w:val="white"/>
              </w:rPr>
              <w:t>Operational Expenses</w:t>
            </w:r>
          </w:p>
        </w:tc>
        <w:tc>
          <w:tcPr>
            <w:tcW w:w="2250" w:type="dxa"/>
            <w:tcMar>
              <w:left w:w="40" w:type="dxa"/>
              <w:right w:w="40" w:type="dxa"/>
            </w:tcMar>
            <w:vAlign w:val="bottom"/>
          </w:tcPr>
          <w:p w:rsidR="007068B3" w:rsidRDefault="00AC00D0">
            <w:r>
              <w:rPr>
                <w:rFonts w:ascii="Calibri" w:eastAsia="Calibri" w:hAnsi="Calibri" w:cs="Calibri"/>
                <w:i/>
                <w:sz w:val="20"/>
                <w:szCs w:val="20"/>
                <w:highlight w:val="white"/>
              </w:rPr>
              <w:t>Total</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$11,085.00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$5,329.53</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Accounting</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$550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$525.00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Arbitration/Legal</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$1,000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Bargaining</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Community Outreach</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Computer/Website</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$25</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Education/Training</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$600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$10.00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Mileage/Travel</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$500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$254.34</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Office Supplies</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$300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$161.86</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Officer Stipends</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$4,000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$2,000.00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Part-time Organizer</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Printing/Promotional</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$400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$759.60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Professional Development</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$800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Rent</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$1,500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$1,000.00</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Telephone</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$410</w:t>
            </w: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Union Events</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$618.73</w:t>
            </w:r>
          </w:p>
        </w:tc>
      </w:tr>
      <w:tr w:rsidR="007068B3">
        <w:tc>
          <w:tcPr>
            <w:tcW w:w="1710" w:type="dxa"/>
            <w:tcMar>
              <w:left w:w="40" w:type="dxa"/>
              <w:right w:w="40" w:type="dxa"/>
            </w:tcMar>
            <w:vAlign w:val="bottom"/>
          </w:tcPr>
          <w:p w:rsidR="007068B3" w:rsidRDefault="00AC00D0">
            <w:r>
              <w:rPr>
                <w:rFonts w:ascii="Calibri" w:eastAsia="Calibri" w:hAnsi="Calibri" w:cs="Calibri"/>
                <w:b/>
                <w:sz w:val="20"/>
                <w:szCs w:val="20"/>
                <w:highlight w:val="white"/>
              </w:rPr>
              <w:t>Total Expenditure</w:t>
            </w:r>
          </w:p>
        </w:tc>
        <w:tc>
          <w:tcPr>
            <w:tcW w:w="2250" w:type="dxa"/>
            <w:tcMar>
              <w:left w:w="40" w:type="dxa"/>
              <w:right w:w="40" w:type="dxa"/>
            </w:tcMar>
            <w:vAlign w:val="bottom"/>
          </w:tcPr>
          <w:p w:rsidR="007068B3" w:rsidRDefault="007068B3"/>
        </w:tc>
        <w:tc>
          <w:tcPr>
            <w:tcW w:w="1440" w:type="dxa"/>
            <w:tcMar>
              <w:left w:w="40" w:type="dxa"/>
              <w:right w:w="40" w:type="dxa"/>
            </w:tcMar>
            <w:vAlign w:val="bottom"/>
          </w:tcPr>
          <w:p w:rsidR="007068B3" w:rsidRDefault="00AC00D0">
            <w:pPr>
              <w:spacing w:line="240" w:lineRule="auto"/>
            </w:pPr>
            <w:r>
              <w:rPr>
                <w:rFonts w:ascii="Calibri" w:eastAsia="Calibri" w:hAnsi="Calibri" w:cs="Calibri"/>
                <w:b/>
                <w:sz w:val="20"/>
                <w:szCs w:val="20"/>
                <w:highlight w:val="white"/>
              </w:rPr>
              <w:t>$68,960.00</w:t>
            </w:r>
          </w:p>
        </w:tc>
        <w:tc>
          <w:tcPr>
            <w:tcW w:w="1250" w:type="dxa"/>
            <w:tcMar>
              <w:left w:w="40" w:type="dxa"/>
              <w:right w:w="40" w:type="dxa"/>
            </w:tcMar>
            <w:vAlign w:val="bottom"/>
          </w:tcPr>
          <w:p w:rsidR="007068B3" w:rsidRDefault="00AC00D0">
            <w:pPr>
              <w:jc w:val="right"/>
            </w:pPr>
            <w:r>
              <w:rPr>
                <w:rFonts w:ascii="Calibri" w:eastAsia="Calibri" w:hAnsi="Calibri" w:cs="Calibri"/>
                <w:b/>
                <w:highlight w:val="white"/>
              </w:rPr>
              <w:t>$32,175.47</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7068B3"/>
        </w:tc>
        <w:tc>
          <w:tcPr>
            <w:tcW w:w="1440" w:type="dxa"/>
            <w:tcMar>
              <w:left w:w="40" w:type="dxa"/>
              <w:right w:w="40" w:type="dxa"/>
            </w:tcMar>
            <w:vAlign w:val="bottom"/>
          </w:tcPr>
          <w:p w:rsidR="007068B3" w:rsidRDefault="007068B3">
            <w:pPr>
              <w:spacing w:line="240" w:lineRule="auto"/>
            </w:pP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AC00D0">
            <w:r>
              <w:rPr>
                <w:rFonts w:ascii="Calibri" w:eastAsia="Calibri" w:hAnsi="Calibri" w:cs="Calibri"/>
                <w:b/>
                <w:sz w:val="20"/>
                <w:szCs w:val="20"/>
                <w:highlight w:val="white"/>
              </w:rPr>
              <w:t>Summary</w:t>
            </w:r>
          </w:p>
        </w:tc>
        <w:tc>
          <w:tcPr>
            <w:tcW w:w="2250" w:type="dxa"/>
            <w:tcMar>
              <w:left w:w="40" w:type="dxa"/>
              <w:right w:w="40" w:type="dxa"/>
            </w:tcMar>
            <w:vAlign w:val="bottom"/>
          </w:tcPr>
          <w:p w:rsidR="007068B3" w:rsidRDefault="007068B3"/>
        </w:tc>
        <w:tc>
          <w:tcPr>
            <w:tcW w:w="1440" w:type="dxa"/>
            <w:tcMar>
              <w:left w:w="40" w:type="dxa"/>
              <w:right w:w="40" w:type="dxa"/>
            </w:tcMar>
            <w:vAlign w:val="bottom"/>
          </w:tcPr>
          <w:p w:rsidR="007068B3" w:rsidRDefault="007068B3">
            <w:pPr>
              <w:spacing w:line="240" w:lineRule="auto"/>
            </w:pP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AC00D0">
            <w:r>
              <w:rPr>
                <w:rFonts w:ascii="Calibri" w:eastAsia="Calibri" w:hAnsi="Calibri" w:cs="Calibri"/>
                <w:sz w:val="20"/>
                <w:szCs w:val="20"/>
                <w:highlight w:val="white"/>
              </w:rPr>
              <w:t>Total Revenue</w:t>
            </w:r>
          </w:p>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1.6% membership dues</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$70,000.00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$31,870.74</w:t>
            </w:r>
          </w:p>
        </w:tc>
      </w:tr>
      <w:tr w:rsidR="007068B3">
        <w:tc>
          <w:tcPr>
            <w:tcW w:w="1710" w:type="dxa"/>
            <w:tcMar>
              <w:left w:w="40" w:type="dxa"/>
              <w:right w:w="40" w:type="dxa"/>
            </w:tcMar>
            <w:vAlign w:val="bottom"/>
          </w:tcPr>
          <w:p w:rsidR="007068B3" w:rsidRDefault="00AC00D0">
            <w:r>
              <w:rPr>
                <w:rFonts w:ascii="Calibri" w:eastAsia="Calibri" w:hAnsi="Calibri" w:cs="Calibri"/>
                <w:sz w:val="20"/>
                <w:szCs w:val="20"/>
                <w:highlight w:val="white"/>
              </w:rPr>
              <w:t>Total Expenditure</w:t>
            </w:r>
          </w:p>
        </w:tc>
        <w:tc>
          <w:tcPr>
            <w:tcW w:w="2250" w:type="dxa"/>
            <w:tcMar>
              <w:left w:w="40" w:type="dxa"/>
              <w:right w:w="40" w:type="dxa"/>
            </w:tcMar>
            <w:vAlign w:val="bottom"/>
          </w:tcPr>
          <w:p w:rsidR="007068B3" w:rsidRDefault="007068B3">
            <w:pPr>
              <w:jc w:val="center"/>
            </w:pP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$68,960.00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$32,175.47</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7068B3">
            <w:pPr>
              <w:jc w:val="center"/>
            </w:pPr>
          </w:p>
        </w:tc>
        <w:tc>
          <w:tcPr>
            <w:tcW w:w="1440" w:type="dxa"/>
            <w:tcMar>
              <w:left w:w="40" w:type="dxa"/>
              <w:right w:w="40" w:type="dxa"/>
            </w:tcMar>
            <w:vAlign w:val="bottom"/>
          </w:tcPr>
          <w:p w:rsidR="007068B3" w:rsidRDefault="007068B3">
            <w:pPr>
              <w:spacing w:line="240" w:lineRule="auto"/>
            </w:pPr>
          </w:p>
        </w:tc>
        <w:tc>
          <w:tcPr>
            <w:tcW w:w="1250" w:type="dxa"/>
            <w:tcMar>
              <w:left w:w="40" w:type="dxa"/>
              <w:right w:w="40" w:type="dxa"/>
            </w:tcMar>
            <w:vAlign w:val="bottom"/>
          </w:tcPr>
          <w:p w:rsidR="007068B3" w:rsidRDefault="007068B3">
            <w:pPr>
              <w:jc w:val="right"/>
            </w:pPr>
          </w:p>
        </w:tc>
      </w:tr>
      <w:tr w:rsidR="007068B3">
        <w:tc>
          <w:tcPr>
            <w:tcW w:w="1710" w:type="dxa"/>
            <w:tcMar>
              <w:left w:w="40" w:type="dxa"/>
              <w:right w:w="40" w:type="dxa"/>
            </w:tcMar>
            <w:vAlign w:val="bottom"/>
          </w:tcPr>
          <w:p w:rsidR="007068B3" w:rsidRDefault="00AC00D0">
            <w:r>
              <w:rPr>
                <w:rFonts w:ascii="Calibri" w:eastAsia="Calibri" w:hAnsi="Calibri" w:cs="Calibri"/>
                <w:b/>
                <w:sz w:val="20"/>
                <w:szCs w:val="20"/>
                <w:highlight w:val="white"/>
              </w:rPr>
              <w:t>FY Surplus/Deficit</w:t>
            </w:r>
          </w:p>
        </w:tc>
        <w:tc>
          <w:tcPr>
            <w:tcW w:w="2250" w:type="dxa"/>
            <w:tcMar>
              <w:left w:w="40" w:type="dxa"/>
              <w:right w:w="40" w:type="dxa"/>
            </w:tcMar>
            <w:vAlign w:val="bottom"/>
          </w:tcPr>
          <w:p w:rsidR="007068B3" w:rsidRDefault="007068B3">
            <w:pPr>
              <w:jc w:val="center"/>
            </w:pP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$1,040.00</w:t>
            </w:r>
          </w:p>
        </w:tc>
        <w:tc>
          <w:tcPr>
            <w:tcW w:w="1250" w:type="dxa"/>
            <w:tcMar>
              <w:left w:w="40" w:type="dxa"/>
              <w:right w:w="40" w:type="dxa"/>
            </w:tcMar>
            <w:vAlign w:val="bottom"/>
          </w:tcPr>
          <w:p w:rsidR="007068B3" w:rsidRDefault="00AC00D0">
            <w:pPr>
              <w:jc w:val="right"/>
            </w:pPr>
            <w:r>
              <w:rPr>
                <w:rFonts w:ascii="Calibri" w:eastAsia="Calibri" w:hAnsi="Calibri" w:cs="Calibri"/>
                <w:highlight w:val="white"/>
              </w:rPr>
              <w:t>-$304.73</w:t>
            </w:r>
          </w:p>
        </w:tc>
      </w:tr>
      <w:tr w:rsidR="007068B3">
        <w:tc>
          <w:tcPr>
            <w:tcW w:w="1710" w:type="dxa"/>
            <w:tcMar>
              <w:left w:w="40" w:type="dxa"/>
              <w:right w:w="40" w:type="dxa"/>
            </w:tcMar>
            <w:vAlign w:val="bottom"/>
          </w:tcPr>
          <w:p w:rsidR="007068B3" w:rsidRDefault="007068B3"/>
        </w:tc>
        <w:tc>
          <w:tcPr>
            <w:tcW w:w="2250" w:type="dxa"/>
            <w:tcMar>
              <w:left w:w="40" w:type="dxa"/>
              <w:right w:w="40" w:type="dxa"/>
            </w:tcMar>
            <w:vAlign w:val="bottom"/>
          </w:tcPr>
          <w:p w:rsidR="007068B3" w:rsidRDefault="007068B3"/>
        </w:tc>
        <w:tc>
          <w:tcPr>
            <w:tcW w:w="1440" w:type="dxa"/>
            <w:tcMar>
              <w:left w:w="40" w:type="dxa"/>
              <w:right w:w="40" w:type="dxa"/>
            </w:tcMar>
            <w:vAlign w:val="bottom"/>
          </w:tcPr>
          <w:p w:rsidR="007068B3" w:rsidRDefault="007068B3">
            <w:pPr>
              <w:spacing w:line="240" w:lineRule="auto"/>
            </w:pPr>
          </w:p>
        </w:tc>
        <w:tc>
          <w:tcPr>
            <w:tcW w:w="1250" w:type="dxa"/>
            <w:tcMar>
              <w:left w:w="40" w:type="dxa"/>
              <w:right w:w="40" w:type="dxa"/>
            </w:tcMar>
            <w:vAlign w:val="bottom"/>
          </w:tcPr>
          <w:p w:rsidR="007068B3" w:rsidRDefault="007068B3"/>
        </w:tc>
      </w:tr>
      <w:tr w:rsidR="007068B3">
        <w:tc>
          <w:tcPr>
            <w:tcW w:w="1710" w:type="dxa"/>
            <w:tcMar>
              <w:left w:w="40" w:type="dxa"/>
              <w:right w:w="40" w:type="dxa"/>
            </w:tcMar>
            <w:vAlign w:val="bottom"/>
          </w:tcPr>
          <w:p w:rsidR="007068B3" w:rsidRDefault="00AC00D0">
            <w:r>
              <w:rPr>
                <w:rFonts w:ascii="Calibri" w:eastAsia="Calibri" w:hAnsi="Calibri" w:cs="Calibri"/>
                <w:b/>
                <w:sz w:val="20"/>
                <w:szCs w:val="20"/>
                <w:highlight w:val="white"/>
              </w:rPr>
              <w:t>Reserve Fund</w:t>
            </w:r>
          </w:p>
        </w:tc>
        <w:tc>
          <w:tcPr>
            <w:tcW w:w="2250" w:type="dxa"/>
            <w:tcMar>
              <w:left w:w="40" w:type="dxa"/>
              <w:right w:w="40" w:type="dxa"/>
            </w:tcMar>
            <w:vAlign w:val="bottom"/>
          </w:tcPr>
          <w:p w:rsidR="007068B3" w:rsidRDefault="00AC00D0">
            <w:r>
              <w:rPr>
                <w:rFonts w:ascii="Calibri" w:eastAsia="Calibri" w:hAnsi="Calibri" w:cs="Calibri"/>
                <w:sz w:val="20"/>
                <w:szCs w:val="20"/>
                <w:highlight w:val="white"/>
              </w:rPr>
              <w:t>Established in by-laws</w:t>
            </w:r>
          </w:p>
        </w:tc>
        <w:tc>
          <w:tcPr>
            <w:tcW w:w="1440" w:type="dxa"/>
            <w:tcMar>
              <w:left w:w="40" w:type="dxa"/>
              <w:right w:w="40" w:type="dxa"/>
            </w:tcMar>
            <w:vAlign w:val="bottom"/>
          </w:tcPr>
          <w:p w:rsidR="007068B3" w:rsidRDefault="00AC00D0">
            <w:pPr>
              <w:spacing w:line="240" w:lineRule="auto"/>
            </w:pPr>
            <w:r>
              <w:rPr>
                <w:rFonts w:ascii="Calibri" w:eastAsia="Calibri" w:hAnsi="Calibri" w:cs="Calibri"/>
                <w:sz w:val="20"/>
                <w:szCs w:val="20"/>
                <w:highlight w:val="white"/>
              </w:rPr>
              <w:t>$25,000</w:t>
            </w:r>
          </w:p>
        </w:tc>
        <w:tc>
          <w:tcPr>
            <w:tcW w:w="1250" w:type="dxa"/>
            <w:tcMar>
              <w:left w:w="40" w:type="dxa"/>
              <w:right w:w="40" w:type="dxa"/>
            </w:tcMar>
            <w:vAlign w:val="bottom"/>
          </w:tcPr>
          <w:p w:rsidR="007068B3" w:rsidRDefault="00AC00D0">
            <w:pPr>
              <w:jc w:val="right"/>
            </w:pPr>
            <w:r>
              <w:rPr>
                <w:rFonts w:ascii="Calibri" w:eastAsia="Calibri" w:hAnsi="Calibri" w:cs="Calibri"/>
                <w:sz w:val="20"/>
                <w:szCs w:val="20"/>
                <w:highlight w:val="white"/>
              </w:rPr>
              <w:t>$25,000.00</w:t>
            </w:r>
          </w:p>
        </w:tc>
      </w:tr>
    </w:tbl>
    <w:p w:rsidR="007068B3" w:rsidRDefault="007068B3"/>
    <w:p w:rsidR="007068B3" w:rsidRDefault="007068B3"/>
    <w:p w:rsidR="007068B3" w:rsidRDefault="007068B3"/>
    <w:sectPr w:rsidR="007068B3">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D0" w:rsidRDefault="00AC00D0">
      <w:pPr>
        <w:spacing w:line="240" w:lineRule="auto"/>
      </w:pPr>
      <w:r>
        <w:separator/>
      </w:r>
    </w:p>
  </w:endnote>
  <w:endnote w:type="continuationSeparator" w:id="0">
    <w:p w:rsidR="00AC00D0" w:rsidRDefault="00AC0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B3" w:rsidRDefault="007068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D0" w:rsidRDefault="00AC00D0">
      <w:pPr>
        <w:spacing w:line="240" w:lineRule="auto"/>
      </w:pPr>
      <w:r>
        <w:separator/>
      </w:r>
    </w:p>
  </w:footnote>
  <w:footnote w:type="continuationSeparator" w:id="0">
    <w:p w:rsidR="00AC00D0" w:rsidRDefault="00AC00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B3" w:rsidRDefault="00706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B3" w:rsidRDefault="007068B3">
    <w:pPr>
      <w:jc w:val="center"/>
    </w:pPr>
  </w:p>
  <w:p w:rsidR="007068B3" w:rsidRDefault="00AC00D0">
    <w:pPr>
      <w:jc w:val="center"/>
    </w:pPr>
    <w:r>
      <w:rPr>
        <w:noProof/>
      </w:rPr>
      <w:drawing>
        <wp:inline distT="114300" distB="114300" distL="114300" distR="114300">
          <wp:extent cx="1847850" cy="1157880"/>
          <wp:effectExtent l="0" t="0" r="0" b="0"/>
          <wp:docPr id="1" name="image01.png" descr="logo black.png"/>
          <wp:cNvGraphicFramePr/>
          <a:graphic xmlns:a="http://schemas.openxmlformats.org/drawingml/2006/main">
            <a:graphicData uri="http://schemas.openxmlformats.org/drawingml/2006/picture">
              <pic:pic xmlns:pic="http://schemas.openxmlformats.org/drawingml/2006/picture">
                <pic:nvPicPr>
                  <pic:cNvPr id="0" name="image01.png" descr="logo black.png"/>
                  <pic:cNvPicPr preferRelativeResize="0"/>
                </pic:nvPicPr>
                <pic:blipFill>
                  <a:blip r:embed="rId1"/>
                  <a:srcRect/>
                  <a:stretch>
                    <a:fillRect/>
                  </a:stretch>
                </pic:blipFill>
                <pic:spPr>
                  <a:xfrm>
                    <a:off x="0" y="0"/>
                    <a:ext cx="1847850" cy="115788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02982"/>
    <w:multiLevelType w:val="multilevel"/>
    <w:tmpl w:val="ED707598"/>
    <w:lvl w:ilvl="0">
      <w:start w:val="1"/>
      <w:numFmt w:val="decimal"/>
      <w:lvlText w:val="%1."/>
      <w:lvlJc w:val="left"/>
      <w:pPr>
        <w:ind w:left="720" w:firstLine="360"/>
      </w:pPr>
      <w:rPr>
        <w:rFonts w:hint="default"/>
        <w:u w:val="none"/>
      </w:rPr>
    </w:lvl>
    <w:lvl w:ilvl="1">
      <w:start w:val="1"/>
      <w:numFmt w:val="lowerLetter"/>
      <w:lvlText w:val="%2."/>
      <w:lvlJc w:val="left"/>
      <w:pPr>
        <w:ind w:left="1440" w:firstLine="72"/>
      </w:pPr>
      <w:rPr>
        <w:rFonts w:hint="default"/>
        <w:u w:val="none"/>
      </w:rPr>
    </w:lvl>
    <w:lvl w:ilvl="2">
      <w:start w:val="1"/>
      <w:numFmt w:val="lowerRoman"/>
      <w:lvlText w:val="%3."/>
      <w:lvlJc w:val="right"/>
      <w:pPr>
        <w:ind w:left="2160" w:hanging="288"/>
      </w:pPr>
      <w:rPr>
        <w:rFonts w:hint="default"/>
        <w:u w:val="none"/>
      </w:rPr>
    </w:lvl>
    <w:lvl w:ilvl="3">
      <w:start w:val="1"/>
      <w:numFmt w:val="decimal"/>
      <w:lvlText w:val="%4."/>
      <w:lvlJc w:val="left"/>
      <w:pPr>
        <w:ind w:left="2880" w:hanging="648"/>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0"/>
  </w:num>
  <w:num w:numId="2">
    <w:abstractNumId w:val="0"/>
    <w:lvlOverride w:ilvl="0">
      <w:lvl w:ilvl="0">
        <w:start w:val="1"/>
        <w:numFmt w:val="decimal"/>
        <w:lvlText w:val="%1."/>
        <w:lvlJc w:val="left"/>
        <w:pPr>
          <w:ind w:left="720" w:firstLine="360"/>
        </w:pPr>
        <w:rPr>
          <w:rFonts w:hint="default"/>
          <w:u w:val="none"/>
        </w:rPr>
      </w:lvl>
    </w:lvlOverride>
    <w:lvlOverride w:ilvl="1">
      <w:lvl w:ilvl="1">
        <w:start w:val="1"/>
        <w:numFmt w:val="lowerLetter"/>
        <w:lvlText w:val="%2."/>
        <w:lvlJc w:val="left"/>
        <w:pPr>
          <w:ind w:left="1440" w:hanging="288"/>
        </w:pPr>
        <w:rPr>
          <w:rFonts w:hint="default"/>
          <w:u w:val="none"/>
        </w:rPr>
      </w:lvl>
    </w:lvlOverride>
    <w:lvlOverride w:ilvl="2">
      <w:lvl w:ilvl="2">
        <w:start w:val="1"/>
        <w:numFmt w:val="lowerRoman"/>
        <w:lvlText w:val="%3."/>
        <w:lvlJc w:val="right"/>
        <w:pPr>
          <w:ind w:left="1800" w:hanging="72"/>
        </w:pPr>
        <w:rPr>
          <w:rFonts w:hint="default"/>
          <w:u w:val="none"/>
        </w:rPr>
      </w:lvl>
    </w:lvlOverride>
    <w:lvlOverride w:ilvl="3">
      <w:lvl w:ilvl="3">
        <w:start w:val="1"/>
        <w:numFmt w:val="decimal"/>
        <w:lvlText w:val="%4."/>
        <w:lvlJc w:val="left"/>
        <w:pPr>
          <w:ind w:left="2880" w:firstLine="2520"/>
        </w:pPr>
        <w:rPr>
          <w:rFonts w:hint="default"/>
          <w:u w:val="none"/>
        </w:rPr>
      </w:lvl>
    </w:lvlOverride>
    <w:lvlOverride w:ilvl="4">
      <w:lvl w:ilvl="4">
        <w:start w:val="1"/>
        <w:numFmt w:val="lowerLetter"/>
        <w:lvlText w:val="%5."/>
        <w:lvlJc w:val="left"/>
        <w:pPr>
          <w:ind w:left="3600" w:firstLine="3240"/>
        </w:pPr>
        <w:rPr>
          <w:rFonts w:hint="default"/>
          <w:u w:val="none"/>
        </w:rPr>
      </w:lvl>
    </w:lvlOverride>
    <w:lvlOverride w:ilvl="5">
      <w:lvl w:ilvl="5">
        <w:start w:val="1"/>
        <w:numFmt w:val="lowerRoman"/>
        <w:lvlText w:val="%6."/>
        <w:lvlJc w:val="right"/>
        <w:pPr>
          <w:ind w:left="4320" w:firstLine="3960"/>
        </w:pPr>
        <w:rPr>
          <w:rFonts w:hint="default"/>
          <w:u w:val="none"/>
        </w:rPr>
      </w:lvl>
    </w:lvlOverride>
    <w:lvlOverride w:ilvl="6">
      <w:lvl w:ilvl="6">
        <w:start w:val="1"/>
        <w:numFmt w:val="decimal"/>
        <w:lvlText w:val="%7."/>
        <w:lvlJc w:val="left"/>
        <w:pPr>
          <w:ind w:left="5040" w:firstLine="4680"/>
        </w:pPr>
        <w:rPr>
          <w:rFonts w:hint="default"/>
          <w:u w:val="none"/>
        </w:rPr>
      </w:lvl>
    </w:lvlOverride>
    <w:lvlOverride w:ilvl="7">
      <w:lvl w:ilvl="7">
        <w:start w:val="1"/>
        <w:numFmt w:val="lowerLetter"/>
        <w:lvlText w:val="%8."/>
        <w:lvlJc w:val="left"/>
        <w:pPr>
          <w:ind w:left="5760" w:firstLine="5400"/>
        </w:pPr>
        <w:rPr>
          <w:rFonts w:hint="default"/>
          <w:u w:val="none"/>
        </w:rPr>
      </w:lvl>
    </w:lvlOverride>
    <w:lvlOverride w:ilvl="8">
      <w:lvl w:ilvl="8">
        <w:start w:val="1"/>
        <w:numFmt w:val="lowerRoman"/>
        <w:lvlText w:val="%9."/>
        <w:lvlJc w:val="right"/>
        <w:pPr>
          <w:ind w:left="6480" w:firstLine="6120"/>
        </w:pPr>
        <w:rPr>
          <w:rFonts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3"/>
    <w:rsid w:val="00306EE4"/>
    <w:rsid w:val="005D0540"/>
    <w:rsid w:val="006372ED"/>
    <w:rsid w:val="007068B3"/>
    <w:rsid w:val="00AC00D0"/>
    <w:rsid w:val="00B76465"/>
    <w:rsid w:val="00BF03F3"/>
    <w:rsid w:val="00C226B1"/>
    <w:rsid w:val="00F0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F259C-531D-4068-A2E2-2861FE30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Gobel</dc:creator>
  <cp:lastModifiedBy>Eric Gobel</cp:lastModifiedBy>
  <cp:revision>2</cp:revision>
  <dcterms:created xsi:type="dcterms:W3CDTF">2017-01-20T23:00:00Z</dcterms:created>
  <dcterms:modified xsi:type="dcterms:W3CDTF">2017-01-20T23:00:00Z</dcterms:modified>
</cp:coreProperties>
</file>